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567"/>
        </w:tabs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 А М Я Т К А</w:t>
      </w:r>
    </w:p>
    <w:p w:rsidR="00000000" w:rsidDel="00000000" w:rsidP="00000000" w:rsidRDefault="00000000" w:rsidRPr="00000000" w14:paraId="00000002">
      <w:pPr>
        <w:tabs>
          <w:tab w:val="left" w:leader="none" w:pos="567"/>
        </w:tabs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(по составлению Отчетов по ГОСТ 7.32-2017)</w:t>
      </w:r>
    </w:p>
    <w:p w:rsidR="00000000" w:rsidDel="00000000" w:rsidP="00000000" w:rsidRDefault="00000000" w:rsidRPr="00000000" w14:paraId="00000003">
      <w:pPr>
        <w:tabs>
          <w:tab w:val="left" w:leader="none" w:pos="567"/>
        </w:tabs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Оформлять годовые отчеты по НИР следует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строго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согласно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ГОСТу 7.32-2017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tabs>
          <w:tab w:val="left" w:leader="none" w:pos="567"/>
        </w:tabs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Авторам и руководителям НИР следует исходить из того, что по продолжающимся темам пишутся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промежуточные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отчеты, по завершенным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заключительные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5">
      <w:pPr>
        <w:tabs>
          <w:tab w:val="left" w:leader="none" w:pos="567"/>
        </w:tabs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Руководитель проекта предоставляет отчет в отдел научных программ, грантов и проектов 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электронном виде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(e-mail: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grant@vspu.ru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 После проверки сотрудниками отдела, отчет необходимо распечатать, подписать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синей пастой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сдать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в бумажном виде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кабинет 12-17.</w:t>
      </w:r>
    </w:p>
    <w:p w:rsidR="00000000" w:rsidDel="00000000" w:rsidP="00000000" w:rsidRDefault="00000000" w:rsidRPr="00000000" w14:paraId="00000006">
      <w:pPr>
        <w:tabs>
          <w:tab w:val="left" w:leader="none" w:pos="567"/>
        </w:tabs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Отчет 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обязательном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порядке должен содержать следующие структурные элементы: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4.0000000000002"/>
        </w:tabs>
        <w:spacing w:after="0" w:before="0" w:line="276" w:lineRule="auto"/>
        <w:ind w:left="1069" w:right="0" w:hanging="360.338582677165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Титульный лист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(оформляется согласно образцу. См. п. 5.1 ГОСТ и Приложение).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1069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4.0000000000002"/>
        </w:tabs>
        <w:spacing w:after="0" w:before="0" w:line="259" w:lineRule="auto"/>
        <w:ind w:left="1069" w:right="0" w:hanging="360.338582677165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Список исполнителей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(оформляется согласно п. 5.2 ГОСТ).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59" w:lineRule="auto"/>
        <w:ind w:left="1069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4.0000000000002"/>
        </w:tabs>
        <w:spacing w:after="0" w:before="0" w:line="259" w:lineRule="auto"/>
        <w:ind w:left="1069" w:right="0" w:hanging="360.33858267716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Реферат.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 согласно п. 5.3. ГОСТ: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59" w:lineRule="auto"/>
        <w:ind w:left="1789" w:right="0" w:hanging="360"/>
        <w:jc w:val="both"/>
        <w:rPr>
          <w:rFonts w:ascii="ArialMT" w:cs="ArialMT" w:eastAsia="ArialMT" w:hAnsi="Arial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сведения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об объеме отчета, количестве частей, иллюстраций, таблиц, использованных источников, приложений;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59" w:lineRule="auto"/>
        <w:ind w:left="1789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перечень ключевых слов (от 5 до 15 слов или словосочетаний);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59" w:lineRule="auto"/>
        <w:ind w:left="178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текст реферата.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59" w:lineRule="auto"/>
        <w:ind w:left="106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Текст реферата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должен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содержать: </w:t>
      </w:r>
    </w:p>
    <w:p w:rsidR="00000000" w:rsidDel="00000000" w:rsidP="00000000" w:rsidRDefault="00000000" w:rsidRPr="00000000" w14:paraId="00000010">
      <w:pPr>
        <w:tabs>
          <w:tab w:val="left" w:leader="none" w:pos="567"/>
        </w:tabs>
        <w:spacing w:after="0" w:lineRule="auto"/>
        <w:ind w:left="10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объект исследования или разработки;</w:t>
      </w:r>
    </w:p>
    <w:p w:rsidR="00000000" w:rsidDel="00000000" w:rsidP="00000000" w:rsidRDefault="00000000" w:rsidRPr="00000000" w14:paraId="00000011">
      <w:pPr>
        <w:tabs>
          <w:tab w:val="left" w:leader="none" w:pos="567"/>
        </w:tabs>
        <w:spacing w:after="0" w:lineRule="auto"/>
        <w:ind w:left="10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цель работы;</w:t>
      </w:r>
    </w:p>
    <w:p w:rsidR="00000000" w:rsidDel="00000000" w:rsidP="00000000" w:rsidRDefault="00000000" w:rsidRPr="00000000" w14:paraId="00000012">
      <w:pPr>
        <w:tabs>
          <w:tab w:val="left" w:leader="none" w:pos="567"/>
        </w:tabs>
        <w:spacing w:after="0" w:lineRule="auto"/>
        <w:ind w:left="10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методы или методологию проведения работы;</w:t>
      </w:r>
    </w:p>
    <w:p w:rsidR="00000000" w:rsidDel="00000000" w:rsidP="00000000" w:rsidRDefault="00000000" w:rsidRPr="00000000" w14:paraId="00000013">
      <w:pPr>
        <w:tabs>
          <w:tab w:val="left" w:leader="none" w:pos="567"/>
        </w:tabs>
        <w:spacing w:after="0" w:lineRule="auto"/>
        <w:ind w:left="10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результаты работы и их новизну;</w:t>
      </w:r>
    </w:p>
    <w:p w:rsidR="00000000" w:rsidDel="00000000" w:rsidP="00000000" w:rsidRDefault="00000000" w:rsidRPr="00000000" w14:paraId="00000014">
      <w:pPr>
        <w:tabs>
          <w:tab w:val="left" w:leader="none" w:pos="567"/>
        </w:tabs>
        <w:spacing w:after="0" w:lineRule="auto"/>
        <w:ind w:left="10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область применения результатов;</w:t>
      </w:r>
    </w:p>
    <w:p w:rsidR="00000000" w:rsidDel="00000000" w:rsidP="00000000" w:rsidRDefault="00000000" w:rsidRPr="00000000" w14:paraId="00000015">
      <w:pPr>
        <w:tabs>
          <w:tab w:val="left" w:leader="none" w:pos="567"/>
        </w:tabs>
        <w:spacing w:after="0" w:lineRule="auto"/>
        <w:ind w:left="10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рекомендации по внедрению или итоги внедрения результатов НИР;</w:t>
      </w:r>
    </w:p>
    <w:p w:rsidR="00000000" w:rsidDel="00000000" w:rsidP="00000000" w:rsidRDefault="00000000" w:rsidRPr="00000000" w14:paraId="00000016">
      <w:pPr>
        <w:tabs>
          <w:tab w:val="left" w:leader="none" w:pos="567"/>
        </w:tabs>
        <w:spacing w:after="0" w:lineRule="auto"/>
        <w:ind w:left="10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экономическую эффективность или значимость работы;</w:t>
      </w:r>
    </w:p>
    <w:p w:rsidR="00000000" w:rsidDel="00000000" w:rsidP="00000000" w:rsidRDefault="00000000" w:rsidRPr="00000000" w14:paraId="00000017">
      <w:pPr>
        <w:tabs>
          <w:tab w:val="left" w:leader="none" w:pos="567"/>
        </w:tabs>
        <w:spacing w:after="0" w:lineRule="auto"/>
        <w:ind w:left="10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прогнозные предположения о развитии объекта исследования.</w:t>
      </w:r>
    </w:p>
    <w:p w:rsidR="00000000" w:rsidDel="00000000" w:rsidP="00000000" w:rsidRDefault="00000000" w:rsidRPr="00000000" w14:paraId="00000018">
      <w:pPr>
        <w:tabs>
          <w:tab w:val="left" w:leader="none" w:pos="-5.999999999999872"/>
        </w:tabs>
        <w:spacing w:after="0" w:lineRule="auto"/>
        <w:ind w:left="566.929133858267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отчет не содержит сведений по какой-либо из перечисленных структурных частей реферата, то в тексте реферата она опускается, при этом последовательность изложения сохраняется.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59" w:lineRule="auto"/>
        <w:ind w:left="106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(Пример заполнения реферата находится в Приложении).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59" w:lineRule="auto"/>
        <w:ind w:left="1069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tabs>
          <w:tab w:val="left" w:leader="none" w:pos="834.0000000000002"/>
        </w:tabs>
        <w:spacing w:after="0" w:line="240" w:lineRule="auto"/>
        <w:ind w:left="1069" w:hanging="360.33858267716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Содержание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(оглавление; п. 5.4 ГОСТ)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C">
      <w:pPr>
        <w:tabs>
          <w:tab w:val="left" w:leader="none" w:pos="567"/>
        </w:tabs>
        <w:spacing w:after="0" w:line="276" w:lineRule="auto"/>
        <w:ind w:left="1069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Содержание включает: введение, наименование всех разделов и подразделов, пунктов (если они имеют наименование), заключение, список использованных источников и наименования приложений с указанием номеров страниц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D">
      <w:pPr>
        <w:tabs>
          <w:tab w:val="left" w:leader="none" w:pos="567"/>
        </w:tabs>
        <w:spacing w:after="0" w:line="276" w:lineRule="auto"/>
        <w:ind w:left="1069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tabs>
          <w:tab w:val="left" w:leader="none" w:pos="834.0000000000002"/>
        </w:tabs>
        <w:spacing w:after="0" w:lineRule="auto"/>
        <w:ind w:left="1069" w:hanging="360.33858267716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Термины и определения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tabs>
          <w:tab w:val="left" w:leader="none" w:pos="567"/>
        </w:tabs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Структурный элемент «ТЕРМИНЫ И ОПРЕДЕЛЕНИЯ» содержит определения, необходимые для уточнения или установления терминов, используемых в отчете о НИР.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tabs>
          <w:tab w:val="left" w:leader="none" w:pos="567"/>
        </w:tabs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Перечень терминов и определений начинают со слов: «В настоящем отчете о НИР применяют следующие термины с соответствующими определениями».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tabs>
          <w:tab w:val="left" w:leader="none" w:pos="567"/>
        </w:tabs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Термины и определения следует оформлять в соответствии с п. 6.14 ГОСТ.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59" w:lineRule="auto"/>
        <w:ind w:left="1069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hanging="360.33858267716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Введение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(п. 5.7 ГОСТ)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должно содержать оценку современного состояния решаемой научной проблемы, основание и исходные данные для разработки темы, обоснование необходимости проведения НИР, сведения о планируемом научно-техническом уровне разработки и выводы из них, сведения о метрологическом обеспечении НИР.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введении должны быть отражены актуальность и новизна темы, связь данной работы с другими научно-исследовательскими работами.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Примечание: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Во введении промежуточного отчета по этапу НИР должны быть указаны цели и задачи исследований, выполненных на данном этапе, их место в выполнении отчета о НИР в целом.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hanging="360.33858267716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Основная часть.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Приводятся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данные отражающие сущность работы (о чем и зачем она), методика и основные результаты выполнения НИР (см. подробнее: п. 5.8. ГОСТ).</w:t>
      </w:r>
    </w:p>
    <w:p w:rsidR="00000000" w:rsidDel="00000000" w:rsidP="00000000" w:rsidRDefault="00000000" w:rsidRPr="00000000" w14:paraId="00000029">
      <w:pPr>
        <w:spacing w:after="0" w:line="276" w:lineRule="auto"/>
        <w:ind w:left="1133.858267716535" w:firstLine="11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Основную часть отчета следует делить на разделы, подразделы и пункты. Пункты при необходимости могут делиться на подпункты. Разделы и подразделы отчета должны иметь заголовки. Пункты и подпункты, как правило, заголовков не имеют.</w:t>
      </w:r>
    </w:p>
    <w:p w:rsidR="00000000" w:rsidDel="00000000" w:rsidP="00000000" w:rsidRDefault="00000000" w:rsidRPr="00000000" w14:paraId="0000002A">
      <w:pPr>
        <w:spacing w:after="0" w:line="276" w:lineRule="auto"/>
        <w:ind w:left="1069" w:firstLine="1198.716535433070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Заголовки разделов и подразделов основной части отчета следует начинать с абзацного отступа и размещать после порядкового номера, печатать с прописной буквы, полужирным шрифтом, не подчеркивать, без точки в конце. Пункты и подпункты могут иметь только порядковый номер без заголовка, начинающийся с абзацного отступа.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hanging="360.33858267716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Заключение.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Содержит краткие итоги, вывод по результатам НИР, включая полноту (степень) достижения общей цели, полноту решения поставленных задач.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hanging="360.33858267716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Список использованных источников.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Список должен содержать сведения об источниках, использованных при составлении отчета. Список использованных источников должен включать библиографические записи на документы/литературу.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hanging="360.33858267716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Внимание! По требованию Минпросвещения России в обязательном порядке необходимо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в приложении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привести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  <w:rtl w:val="0"/>
        </w:rPr>
        <w:t xml:space="preserve">список публикаций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по теме за 202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г.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случае завершения плановой темы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необходимо также в конце представить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список всех вышедших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публикаций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период работы над темой.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567"/>
        </w:tabs>
        <w:spacing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Правила оформления отчета: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Текстовый редактор – Microsoft Word. Формат – А4. </w:t>
      </w:r>
    </w:p>
    <w:p w:rsidR="00000000" w:rsidDel="00000000" w:rsidP="00000000" w:rsidRDefault="00000000" w:rsidRPr="00000000" w14:paraId="0000003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Текст отчета следует печатать, соблюдая следующие размеры полей: левое – 30 мм, правое – 15 мм, верхнее и нижнее – 20 мм. Абзацный отступ должен быть одинаковым по всему тексту отчета и равен 1,25 см.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Шрифт – Times New Roman. Ориентация – книжная, без переносов.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24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Межстрочный интервал – 1,5, выравнивание по ширине, размер шрифта – 12-14 пт.</w:t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567"/>
        </w:tabs>
        <w:spacing w:after="24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Полужирный шрифт применяют только для заголовков разделов и подразделов, заголовков структурных элементов. Использование курсива допускается для обозначения объектов (биология, геология, медицина, нанотехнологии, генная инженерия и др.) и написания терминов (например, in vivo, in vitro) и иных объектов и терминов на латыни.</w:t>
      </w:r>
    </w:p>
    <w:p w:rsidR="00000000" w:rsidDel="00000000" w:rsidP="00000000" w:rsidRDefault="00000000" w:rsidRPr="00000000" w14:paraId="00000038">
      <w:pPr>
        <w:widowControl w:val="0"/>
        <w:tabs>
          <w:tab w:val="left" w:leader="none" w:pos="567"/>
        </w:tabs>
        <w:spacing w:after="24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акцентирования внимания может применяться выделение текста с помощью шрифта иного начертания, чем шрифт основного текста, но того же кегля и гарнитуры. Разрешается для написания определенных терминов, формул, теорем применять шрифты разной гарнитуры.</w:t>
      </w:r>
    </w:p>
    <w:p w:rsidR="00000000" w:rsidDel="00000000" w:rsidP="00000000" w:rsidRDefault="00000000" w:rsidRPr="00000000" w14:paraId="00000039">
      <w:pPr>
        <w:tabs>
          <w:tab w:val="left" w:leader="none" w:pos="567"/>
        </w:tabs>
        <w:spacing w:after="0" w:lineRule="auto"/>
        <w:ind w:firstLine="567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См. ниже: приложение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примеры составления и оформления отдельных разделов отчета).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Министерство просвещения Российской Федерации</w:t>
      </w:r>
    </w:p>
    <w:p w:rsidR="00000000" w:rsidDel="00000000" w:rsidP="00000000" w:rsidRDefault="00000000" w:rsidRPr="00000000" w14:paraId="0000003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Федеральное государственное бюджетное</w:t>
      </w:r>
    </w:p>
    <w:p w:rsidR="00000000" w:rsidDel="00000000" w:rsidP="00000000" w:rsidRDefault="00000000" w:rsidRPr="00000000" w14:paraId="0000003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образовательное учреждение высшего образования</w:t>
      </w:r>
    </w:p>
    <w:p w:rsidR="00000000" w:rsidDel="00000000" w:rsidP="00000000" w:rsidRDefault="00000000" w:rsidRPr="00000000" w14:paraId="0000003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«ВОЛГОГРАДСКИЙ ГОСУДАРСТВЕННЫЙ</w:t>
      </w:r>
    </w:p>
    <w:p w:rsidR="00000000" w:rsidDel="00000000" w:rsidP="00000000" w:rsidRDefault="00000000" w:rsidRPr="00000000" w14:paraId="0000003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СОЦИАЛЬНО-ПЕДАГОГИЧЕСКИЙ УНИВЕРСИТЕТ»</w:t>
      </w:r>
    </w:p>
    <w:p w:rsidR="00000000" w:rsidDel="00000000" w:rsidP="00000000" w:rsidRDefault="00000000" w:rsidRPr="00000000" w14:paraId="0000003F">
      <w:pPr>
        <w:shd w:fill="ffffff" w:val="clear"/>
        <w:spacing w:after="120"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УДК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539.23 539.216.1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Рег. № НИОКТР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yellow"/>
          <w:rtl w:val="0"/>
        </w:rPr>
        <w:t xml:space="preserve">АААА-А17-117030110072-9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Рег. № ИКРБС 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ind w:left="6094.488188976376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«УТВЕРЖДАЮ»</w:t>
      </w:r>
    </w:p>
    <w:p w:rsidR="00000000" w:rsidDel="00000000" w:rsidP="00000000" w:rsidRDefault="00000000" w:rsidRPr="00000000" w14:paraId="00000046">
      <w:pPr>
        <w:spacing w:after="0" w:line="240" w:lineRule="auto"/>
        <w:ind w:left="6094.488188976376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Проректор по научной работе</w:t>
      </w:r>
    </w:p>
    <w:p w:rsidR="00000000" w:rsidDel="00000000" w:rsidP="00000000" w:rsidRDefault="00000000" w:rsidRPr="00000000" w14:paraId="00000047">
      <w:pPr>
        <w:spacing w:after="0" w:line="240" w:lineRule="auto"/>
        <w:ind w:left="6094.488188976376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ФГБОУ ВО «ВГСПУ»</w:t>
      </w:r>
    </w:p>
    <w:p w:rsidR="00000000" w:rsidDel="00000000" w:rsidP="00000000" w:rsidRDefault="00000000" w:rsidRPr="00000000" w14:paraId="00000048">
      <w:pPr>
        <w:spacing w:after="0" w:line="240" w:lineRule="auto"/>
        <w:ind w:left="6094.488188976376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д-р физ-мат. наук, профессор</w:t>
      </w:r>
    </w:p>
    <w:p w:rsidR="00000000" w:rsidDel="00000000" w:rsidP="00000000" w:rsidRDefault="00000000" w:rsidRPr="00000000" w14:paraId="00000049">
      <w:pPr>
        <w:spacing w:after="0" w:line="240" w:lineRule="auto"/>
        <w:ind w:left="6094.488188976376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 С.Ю. Глазов</w:t>
      </w:r>
    </w:p>
    <w:p w:rsidR="00000000" w:rsidDel="00000000" w:rsidP="00000000" w:rsidRDefault="00000000" w:rsidRPr="00000000" w14:paraId="0000004A">
      <w:pPr>
        <w:spacing w:after="0" w:line="240" w:lineRule="auto"/>
        <w:ind w:left="6094.488188976376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«___»_________ ______ г.</w:t>
      </w:r>
    </w:p>
    <w:p w:rsidR="00000000" w:rsidDel="00000000" w:rsidP="00000000" w:rsidRDefault="00000000" w:rsidRPr="00000000" w14:paraId="0000004B">
      <w:pPr>
        <w:spacing w:after="0" w:line="240" w:lineRule="auto"/>
        <w:ind w:left="637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ОТЧЕТ</w:t>
      </w:r>
    </w:p>
    <w:p w:rsidR="00000000" w:rsidDel="00000000" w:rsidP="00000000" w:rsidRDefault="00000000" w:rsidRPr="00000000" w14:paraId="0000005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НАУЧНО-ИССЛЕДОВАТЕЛЬСКОЙ РАБОТЕ</w:t>
      </w:r>
    </w:p>
    <w:p w:rsidR="00000000" w:rsidDel="00000000" w:rsidP="00000000" w:rsidRDefault="00000000" w:rsidRPr="00000000" w14:paraId="0000005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  <w:rtl w:val="0"/>
        </w:rPr>
        <w:t xml:space="preserve">СВЯЗАННЫЕ СОСТОЯНИЯ ЭЛЕМЕНТАРНЫХ ВОЗБУЖДЕНИЙ В СТРУКТУРАХ, ОПИСЫВАЕМЫХ ДИРАКОВСКИМ СПЕКТРОМ И ПОДВЕРЖЕННЫХ ВЫСОКОЧАСТОТНОМУ ЭЛЕКТРОМАГНИТНОМУ ИЗЛУЧЕНИЮ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(промежуточный, этап 1)</w:t>
      </w:r>
    </w:p>
    <w:p w:rsidR="00000000" w:rsidDel="00000000" w:rsidP="00000000" w:rsidRDefault="00000000" w:rsidRPr="00000000" w14:paraId="0000005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Руководитель НИР,</w:t>
      </w:r>
    </w:p>
    <w:p w:rsidR="00000000" w:rsidDel="00000000" w:rsidP="00000000" w:rsidRDefault="00000000" w:rsidRPr="00000000" w14:paraId="0000005C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профессор кафедры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(должность)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,</w:t>
      </w:r>
    </w:p>
    <w:p w:rsidR="00000000" w:rsidDel="00000000" w:rsidP="00000000" w:rsidRDefault="00000000" w:rsidRPr="00000000" w14:paraId="0000005D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д-р физ.-мат. наук, проф.</w:t>
        <w:tab/>
        <w:tab/>
        <w:tab/>
        <w:t xml:space="preserve">_______________________С. В. Крючков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after="0" w:line="240" w:lineRule="auto"/>
        <w:ind w:left="4248" w:firstLine="708.0000000000001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подпись</w:t>
      </w:r>
    </w:p>
    <w:p w:rsidR="00000000" w:rsidDel="00000000" w:rsidP="00000000" w:rsidRDefault="00000000" w:rsidRPr="00000000" w14:paraId="0000005F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ffffff" w:val="clear"/>
        <w:spacing w:after="0" w:line="21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Волгоград 2023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567"/>
        </w:tabs>
        <w:spacing w:line="276" w:lineRule="auto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Пример составления реферата:</w:t>
      </w:r>
    </w:p>
    <w:p w:rsidR="00000000" w:rsidDel="00000000" w:rsidP="00000000" w:rsidRDefault="00000000" w:rsidRPr="00000000" w14:paraId="0000006C">
      <w:pPr>
        <w:tabs>
          <w:tab w:val="left" w:leader="none" w:pos="567"/>
        </w:tabs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РЕФЕРЕТ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567"/>
        </w:tabs>
        <w:spacing w:line="276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Отчет 23 с., 1 кн.,  3 табл., 10 источн., 2 прил.</w:t>
      </w:r>
    </w:p>
    <w:p w:rsidR="00000000" w:rsidDel="00000000" w:rsidP="00000000" w:rsidRDefault="00000000" w:rsidRPr="00000000" w14:paraId="0000006E">
      <w:pPr>
        <w:tabs>
          <w:tab w:val="left" w:leader="none" w:pos="567"/>
        </w:tabs>
        <w:spacing w:line="276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КЛЮЧЕВЫЕ СЛОВА (от 5 до 15 слов или словосочетаний)</w:t>
      </w:r>
    </w:p>
    <w:p w:rsidR="00000000" w:rsidDel="00000000" w:rsidP="00000000" w:rsidRDefault="00000000" w:rsidRPr="00000000" w14:paraId="0000006F">
      <w:pPr>
        <w:tabs>
          <w:tab w:val="left" w:leader="none" w:pos="567"/>
        </w:tabs>
        <w:spacing w:line="276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Объект исследования – комплекс источников, отражающих процесс и результаты чистки в центральных учреждениях СССР и РСФСР. </w:t>
      </w:r>
    </w:p>
    <w:p w:rsidR="00000000" w:rsidDel="00000000" w:rsidP="00000000" w:rsidRDefault="00000000" w:rsidRPr="00000000" w14:paraId="00000070">
      <w:pPr>
        <w:tabs>
          <w:tab w:val="left" w:leader="none" w:pos="567"/>
        </w:tabs>
        <w:spacing w:line="276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 исследования – теоретическое обоснование интегральной образовательной технологии кейс-проектного типа на базе искусственного интеллекта и роботизированных систем для учебного процесса профессионального образовательного учреждения</w:t>
      </w:r>
    </w:p>
    <w:p w:rsidR="00000000" w:rsidDel="00000000" w:rsidP="00000000" w:rsidRDefault="00000000" w:rsidRPr="00000000" w14:paraId="00000071">
      <w:pPr>
        <w:tabs>
          <w:tab w:val="left" w:leader="none" w:pos="567"/>
        </w:tabs>
        <w:spacing w:line="276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Методы исследования: В работе были использованы как общие методы источниковедческого анализа – структурно-тематический, текстологический, так и специальные методы анализа массовых источников с помощью баз данных.</w:t>
      </w:r>
    </w:p>
    <w:p w:rsidR="00000000" w:rsidDel="00000000" w:rsidP="00000000" w:rsidRDefault="00000000" w:rsidRPr="00000000" w14:paraId="00000072">
      <w:pPr>
        <w:tabs>
          <w:tab w:val="left" w:leader="none" w:pos="567"/>
        </w:tabs>
        <w:spacing w:line="276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Основные результаты работы: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раскрытия «внутренней логики» формирования источников, отражающих процесс и результаты чистки на уровне учреждения было проведено подокументное описание материалов комиссии по чистке отдельных структурных подразделений НКТорга СССР и ВСНХ СССР, создана база данных о результатах чистки в ряде центральных учреждений СССР.</w:t>
      </w:r>
    </w:p>
    <w:p w:rsidR="00000000" w:rsidDel="00000000" w:rsidP="00000000" w:rsidRDefault="00000000" w:rsidRPr="00000000" w14:paraId="00000073">
      <w:pPr>
        <w:tabs>
          <w:tab w:val="left" w:leader="none" w:pos="567"/>
        </w:tabs>
        <w:spacing w:line="276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Внедренческий потенциал результатов исследования заключается в реализации разработанной образовательной технологии посредством создания образовательных продуктов на ее основе: основных и дополнительных профессиональных образовательных программ, технико-организационных решений для развития образовательной среды. Полученные результаты могут использоваться педагогическими вузами при реализации данной образовательной технологии при подготовке будущих педагогов.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6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Полученная научная продукция: научные статьи. Выходные данные статей приведены в приложении А. Показатели выполненной работы за 2022 г. приведены в таблице 1 основной части отчета. Их значения позволяют сделать вывод, что основные показатели, заявленные на 2022 г. достигнуты.</w:t>
      </w:r>
    </w:p>
    <w:p w:rsidR="00000000" w:rsidDel="00000000" w:rsidP="00000000" w:rsidRDefault="00000000" w:rsidRPr="00000000" w14:paraId="00000075">
      <w:pPr>
        <w:tabs>
          <w:tab w:val="left" w:leader="none" w:pos="567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Пример оформления структурного элемента</w:t>
      </w:r>
    </w:p>
    <w:p w:rsidR="00000000" w:rsidDel="00000000" w:rsidP="00000000" w:rsidRDefault="00000000" w:rsidRPr="00000000" w14:paraId="00000077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«Список использованных источников» в отчете о НИР</w:t>
      </w:r>
    </w:p>
    <w:p w:rsidR="00000000" w:rsidDel="00000000" w:rsidP="00000000" w:rsidRDefault="00000000" w:rsidRPr="00000000" w14:paraId="0000007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ИСПОЛЬЗОВАННЫХ ИСТОЧНИКОВ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DeRidder J. L. The immediate prospects for the application of ontologies in digital libraries // Knowledge Organization — 2007. — Vol. 34, No. 4. Р. 227-246.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U.S. National Library of Medicine. Fact sheet: UMLS Metathesaurus / National Institutes of Health, 2006—2013. — URL: http://www.nlm.nih.gov/pubs/factsheets/umlsmeta.html (дата обращения 2014-12-09).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U.S. National Library of Medicine. Fact sheet: Unfi ed Medical Language System / National Institutes of Health, 2006—2013. — URL: http://www.nlm.nih.gov/pubs/factsheets/umls.html (дата обращения 2009-12-09).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Антопольский А. Б., Белоозеров В. Н. Процедура формирования макротезауруса политематических информационных систем // Классификация и кодирование. — 1976. — № 1 (57). — С. 25—29.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Белоозеров В. Н., Федосимов В. И. Место макротезауруса в лингвистическом обеспечении сети органов научно-технической информации // Проблемы информационных систем. — 1986. — № 1. — С. 6—10.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Использование и ведение макротезауруса ГАСНТИ: Методические рекомендации / ГКНТ СССР. — М., 1983. — 12 с.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Nuovo soggettario: guida al sistema italiano di indicizzazione per soggetto, prototipo del thesaurus [Рецензия] // Knowledge Organization. — 2007. — Vol. 34, № 1. — Р. 58—60.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60" w:before="0" w:line="259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РГАСПИ. Ф. 17. Оп. 167. Д. 60.</w:t>
      </w: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681.3779527559075" w:top="1134" w:left="1701" w:right="851" w:header="709" w:footer="709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Отдел грантов" w:id="1" w:date="2023-11-24T11:18:13Z"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Сведения об источниках следует располагать в порядке появления ссылок на источники в тексте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отчета. НЕ в алфавитном порядке</w:t>
      </w:r>
    </w:p>
  </w:comment>
  <w:comment w:author="Отдел грантов" w:id="0" w:date="2023-11-24T11:16:39Z"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 более 1 страницы текста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85" w15:done="0"/>
  <w15:commentEx w15:paraId="00000086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ArialM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789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.3385826771653"/>
      </w:pPr>
      <w:rPr>
        <w:b w:val="1"/>
      </w:rPr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636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2007" w:hanging="360"/>
      </w:pPr>
      <w:rPr/>
    </w:lvl>
    <w:lvl w:ilvl="2">
      <w:start w:val="1"/>
      <w:numFmt w:val="lowerRoman"/>
      <w:lvlText w:val="%3."/>
      <w:lvlJc w:val="right"/>
      <w:pPr>
        <w:ind w:left="2727" w:hanging="180"/>
      </w:pPr>
      <w:rPr/>
    </w:lvl>
    <w:lvl w:ilvl="3">
      <w:start w:val="1"/>
      <w:numFmt w:val="decimal"/>
      <w:lvlText w:val="%4."/>
      <w:lvlJc w:val="left"/>
      <w:pPr>
        <w:ind w:left="3447" w:hanging="360"/>
      </w:pPr>
      <w:rPr/>
    </w:lvl>
    <w:lvl w:ilvl="4">
      <w:start w:val="1"/>
      <w:numFmt w:val="lowerLetter"/>
      <w:lvlText w:val="%5."/>
      <w:lvlJc w:val="left"/>
      <w:pPr>
        <w:ind w:left="4167" w:hanging="360"/>
      </w:pPr>
      <w:rPr/>
    </w:lvl>
    <w:lvl w:ilvl="5">
      <w:start w:val="1"/>
      <w:numFmt w:val="lowerRoman"/>
      <w:lvlText w:val="%6."/>
      <w:lvlJc w:val="right"/>
      <w:pPr>
        <w:ind w:left="4887" w:hanging="180"/>
      </w:pPr>
      <w:rPr/>
    </w:lvl>
    <w:lvl w:ilvl="6">
      <w:start w:val="1"/>
      <w:numFmt w:val="decimal"/>
      <w:lvlText w:val="%7."/>
      <w:lvlJc w:val="left"/>
      <w:pPr>
        <w:ind w:left="5607" w:hanging="360"/>
      </w:pPr>
      <w:rPr/>
    </w:lvl>
    <w:lvl w:ilvl="7">
      <w:start w:val="1"/>
      <w:numFmt w:val="lowerLetter"/>
      <w:lvlText w:val="%8."/>
      <w:lvlJc w:val="left"/>
      <w:pPr>
        <w:ind w:left="6327" w:hanging="360"/>
      </w:pPr>
      <w:rPr/>
    </w:lvl>
    <w:lvl w:ilvl="8">
      <w:start w:val="1"/>
      <w:numFmt w:val="lowerRoman"/>
      <w:lvlText w:val="%9."/>
      <w:lvlJc w:val="right"/>
      <w:pPr>
        <w:ind w:left="7047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C5D23"/>
    <w:pPr>
      <w:spacing w:after="160" w:line="259" w:lineRule="auto"/>
    </w:pPr>
    <w:rPr>
      <w:lang w:eastAsia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rsid w:val="008C5D23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locked w:val="1"/>
    <w:rsid w:val="008C5D23"/>
    <w:rPr>
      <w:rFonts w:cs="Times New Roman"/>
    </w:rPr>
  </w:style>
  <w:style w:type="paragraph" w:styleId="a5">
    <w:name w:val="footer"/>
    <w:basedOn w:val="a"/>
    <w:link w:val="a6"/>
    <w:uiPriority w:val="99"/>
    <w:rsid w:val="008C5D23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locked w:val="1"/>
    <w:rsid w:val="008C5D23"/>
    <w:rPr>
      <w:rFonts w:cs="Times New Roman"/>
    </w:rPr>
  </w:style>
  <w:style w:type="paragraph" w:styleId="a7">
    <w:name w:val="Balloon Text"/>
    <w:basedOn w:val="a"/>
    <w:link w:val="a8"/>
    <w:uiPriority w:val="99"/>
    <w:semiHidden w:val="1"/>
    <w:rsid w:val="008C5D2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8" w:customStyle="1">
    <w:name w:val="Текст выноски Знак"/>
    <w:basedOn w:val="a0"/>
    <w:link w:val="a7"/>
    <w:uiPriority w:val="99"/>
    <w:semiHidden w:val="1"/>
    <w:locked w:val="1"/>
    <w:rsid w:val="008C5D23"/>
    <w:rPr>
      <w:rFonts w:ascii="Segoe UI" w:cs="Segoe UI" w:hAnsi="Segoe UI"/>
      <w:sz w:val="18"/>
      <w:szCs w:val="18"/>
    </w:rPr>
  </w:style>
  <w:style w:type="paragraph" w:styleId="a9">
    <w:name w:val="Normal (Web)"/>
    <w:basedOn w:val="a"/>
    <w:uiPriority w:val="99"/>
    <w:rsid w:val="00EA3E1E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 w:val="1"/>
    <w:rsid w:val="002B7039"/>
    <w:pPr>
      <w:ind w:left="720"/>
      <w:contextualSpacing w:val="1"/>
    </w:pPr>
  </w:style>
  <w:style w:type="character" w:styleId="ab">
    <w:name w:val="Hyperlink"/>
    <w:basedOn w:val="a0"/>
    <w:uiPriority w:val="99"/>
    <w:semiHidden w:val="1"/>
    <w:rsid w:val="00E94BDB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 w:val="1"/>
    <w:rsid w:val="007A4E1E"/>
    <w:rPr>
      <w:rFonts w:cs="Times New Roman"/>
      <w:color w:val="800080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1.xml"/><Relationship Id="rId9" Type="http://schemas.openxmlformats.org/officeDocument/2006/relationships/hyperlink" Target="mailto:grant@vspu.ru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bhiZcVZbj5ma+zSKvOBJGiP01Q==">CgMxLjAaJwoBMBIiCiAIBCocCgtBQUFCQkc0d0NDaxAIGgtBQUFCQkc0d0NDaxonCgExEiIKIAgEKhwKC0FBQUJCRzR3Q0NvEAgaC0FBQUJCRzR3Q0NvIrwHCgtBQUFCQkc0d0NDbxKMBwoLQUFBQkJHNHdDQ28SC0FBQUJCRzR3Q0NvGvUBCgl0ZXh0L2h0bWwS5wHQodCy0LXQtNC10L3QuNGPINC+0LEg0LjRgdGC0L7Rh9C90LjQutCw0YUg0YHQu9C10LTRg9C10YIg0YDQsNGB0L/QvtC70LDQs9Cw0YLRjCDQsiDQv9C+0YDRj9C00LrQtSDQv9C+0Y/QstC70LXQvdC40Y8g0YHRgdGL0LvQvtC6INC90LAg0LjRgdGC0L7Rh9C90LjQutC4INCyINGC0LXQutGB0YLQtTxicj7QvtGC0YfQtdGC0LAuINCd0JUg0LIg0LDQu9GE0LDQstC40YLQvdC+0Lwg0L/QvtGA0Y/QtNC60LUi8wEKCnRleHQvcGxhaW4S5AHQodCy0LXQtNC10L3QuNGPINC+0LEg0LjRgdGC0L7Rh9C90LjQutCw0YUg0YHQu9C10LTRg9C10YIg0YDQsNGB0L/QvtC70LDQs9Cw0YLRjCDQsiDQv9C+0YDRj9C00LrQtSDQv9C+0Y/QstC70LXQvdC40Y8g0YHRgdGL0LvQvtC6INC90LAg0LjRgdGC0L7Rh9C90LjQutC4INCyINGC0LXQutGB0YLQtQrQvtGC0YfQtdGC0LAuINCd0JUg0LIg0LDQu9GE0LDQstC40YLQvdC+0Lwg0L/QvtGA0Y/QtNC60LUqGyIVMTEwMzkzOTI1NjQ3MTYyNDQxMjAzKAA4ADD39LSIwDE4zPa2iMAxSkwKCnRleHQvcGxhaW4SPtCh0J/QmNCh0J7QmiDQmNCh0J/QntCb0KzQl9Ce0JLQkNCd0J3Qq9ClINCY0KHQotCe0KfQndCY0JrQntCSWgxzNTIwOWI5eWhhYXRyAiAAeACaAQYIABAAGACqAeoBEucB0KHQstC10LTQtdC90LjRjyDQvtCxINC40YHRgtC+0YfQvdC40LrQsNGFINGB0LvQtdC00YPQtdGCINGA0LDRgdC/0L7Qu9Cw0LPQsNGC0Ywg0LIg0L/QvtGA0Y/QtNC60LUg0L/QvtGP0LLQu9C10L3QuNGPINGB0YHRi9C70L7QuiDQvdCwINC40YHRgtC+0YfQvdC40LrQuCDQsiDRgtC10LrRgdGC0LU8YnI+0L7RgtGH0LXRgtCwLiDQndCVINCyINCw0LvRhNCw0LLQuNGC0L3QvtC8INC/0L7RgNGP0LTQutC1GPf0tIjAMSDM9raIwDFCEGtpeC43dTF2MHV4eGFrYnIi4QIKC0FBQUJCRzR3Q0NrErECCgtBQUFCQkc0d0NDaxILQUFBQkJHNHdDQ2saPAoJdGV4dC9odG1sEi/QndC1INCx0L7Qu9C10LUgMSDRgdGC0YDQsNC90LjRhtGLINGC0LXQutGB0YLQsCI9Cgp0ZXh0L3BsYWluEi/QndC1INCx0L7Qu9C10LUgMSDRgdGC0YDQsNC90LjRhtGLINGC0LXQutGB0YLQsCobIhUxMTAzOTM5MjU2NDcxNjI0NDEyMDMoADgAMMaVr4jAMTjGla+IwDFKHAoKdGV4dC9wbGFpbhIO0KDQldCk0JXQoNCV0KJaDHl4NXRtdWVjbnlrcHICIAB4AJoBBggAEAAYAKoBMRIv0J3QtSDQsdC+0LvQtdC1IDEg0YHRgtGA0LDQvdC40YbRiyDRgtC10LrRgdGC0LAYxpWviMAxIMaVr4jAMUIQa2l4LnFlY3Q4Z3Z0OXNjZjgAciExdlhsWWVPb3I4NjN4aU9jWlFfNF80YS1wZFUyLXFvV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2021-12-09T12:54:00Z</dcterms:created>
  <dc:creator>User</dc:creator>
</cp:coreProperties>
</file>