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 4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заседания научно-методического совета ВГСПУ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 18 мая 2015г.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Председатель научно-</w:t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ind w:left="2832" w:hanging="2832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методического совета  </w:t>
        <w:tab/>
        <w:t xml:space="preserve">Жадаев Ю.А.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проректор по учебной работе, кандидат педагогических наук, доцент.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Секретарь совета                  Шулико О.В., секретарь руководителя</w:t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ind w:left="2832" w:hanging="2832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</w:t>
        <w:tab/>
        <w:t xml:space="preserve">21 член научно-методического совета и директора институтов, деканы факультетов, зав. кафедрами (всего 67 человек)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Повестка дня: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Особенности разработки паспорта и программы формирования компетенции у студентов при разработке ОПОП в соответствии с ФГОС ВО.   </w:t>
      </w:r>
    </w:p>
    <w:p w:rsidR="00000000" w:rsidDel="00000000" w:rsidP="00000000" w:rsidRDefault="00000000" w:rsidRPr="00000000">
      <w:pPr>
        <w:ind w:firstLine="70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4956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Докладчик: М.Ю.Чандра, доцент кафедры педагогики.</w:t>
      </w:r>
    </w:p>
    <w:p w:rsidR="00000000" w:rsidDel="00000000" w:rsidP="00000000" w:rsidRDefault="00000000" w:rsidRPr="00000000">
      <w:pPr>
        <w:spacing w:after="0" w:line="240" w:lineRule="auto"/>
        <w:ind w:left="4956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Анализ  требований </w:t>
        <w:tab/>
        <w:t xml:space="preserve">Порядка</w:t>
        <w:tab/>
        <w:t xml:space="preserve"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 (утв. приказом Министерства образования и науки РФ от 19 декабря 2013 г. N 1367).</w:t>
      </w:r>
    </w:p>
    <w:p w:rsidR="00000000" w:rsidDel="00000000" w:rsidP="00000000" w:rsidRDefault="00000000" w:rsidRPr="00000000">
      <w:pPr>
        <w:spacing w:after="0" w:line="240" w:lineRule="auto"/>
        <w:ind w:left="4956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Докладчик: Е.В.Орлова, начальник учебного управления.</w:t>
      </w:r>
    </w:p>
    <w:p w:rsidR="00000000" w:rsidDel="00000000" w:rsidP="00000000" w:rsidRDefault="00000000" w:rsidRPr="00000000">
      <w:pPr>
        <w:tabs>
          <w:tab w:val="left" w:pos="1320"/>
        </w:tabs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Разное.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 расчете учебной нагрузки на 2015/16 учебный  год;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 проведении аттестации ППС в июне 2015 год.;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 проведении конкурсного отбора на должности ППС в 2015 год.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 формировании ОПОП в соответствии с требованиями обновленных ФГОС ВО с целью выставления на сайт университета.</w:t>
      </w:r>
    </w:p>
    <w:p w:rsidR="00000000" w:rsidDel="00000000" w:rsidP="00000000" w:rsidRDefault="00000000" w:rsidRPr="00000000">
      <w:pPr>
        <w:spacing w:after="0" w:line="240" w:lineRule="auto"/>
        <w:ind w:left="4956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Докладчик: Ю.А.Жадаев., проректор по учебной работе, кандидат педагогических наук, доцент.</w:t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14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 xml:space="preserve">СЛУШАЛИ: Чандра М.Ю.,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доцента кафедры педагогики об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особенности разработки паспорта и программы формирования компетенции у студентов при разработке ОПОП в соответствии с ФГОС ВО.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right="1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своем докладе Маргарита Юрьевна отметила, что паспорт и программа формирования компетенции позволяет:</w:t>
      </w:r>
    </w:p>
    <w:p w:rsidR="00000000" w:rsidDel="00000000" w:rsidP="00000000" w:rsidRDefault="00000000" w:rsidRPr="00000000">
      <w:pPr>
        <w:spacing w:after="0" w:line="240" w:lineRule="auto"/>
        <w:ind w:left="360" w:right="1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систематизировать информацию о структуре компетенции, уровнях ее сформированности, применяемых образовательных технологиях и системе оценочных средств;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right="1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установить междисциплинарные связи и закрепить ответственность между кафедрами, дисциплинами, ППС (доля вклада в формирование компетенции);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right="1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определить структурно-логическую последовательность изучения дисциплин и прохождения практик;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right="1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разработать согласованные учебные программы дисциплин, практик и ГИА;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right="141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гарантировать внешним заинтересованным сторонам выполнение требований ФГОС 3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общей структуре (макете) ОПОП вуза паспорт компетенции и программа ее формирования представляют собой единый документ, содержащий в соответствии с названием две составные части (паспорт и программа), который разрабатывается на каждую компетенцию ОПОП в отдельности.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Педагогическое образование (магистратура)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Общекультурные (ОК-1, ОК-2, ОК-3, ОК-4, ОК-5)-обязательные;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Общепрофессиональные (ОПК-1, ОПК-2, ОПК-3, ОПК-4)- обязательные;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Профессиональные: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3606800</wp:posOffset>
                </wp:positionH>
                <wp:positionV relativeFrom="paragraph">
                  <wp:posOffset>114300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1" name="Shape 1"/>
                      <wps:spPr>
                        <a:xfrm>
                          <a:off x="5346000" y="3780000"/>
                          <a:ext cx="0" cy="0"/>
                        </a:xfrm>
                        <a:custGeom>
                          <a:pathLst>
                            <a:path extrusionOk="0" h="1" w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3606800</wp:posOffset>
                </wp:positionH>
                <wp:positionV relativeFrom="paragraph">
                  <wp:posOffset>114300</wp:posOffset>
                </wp:positionV>
                <wp:extent cx="12700" cy="127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Педагогическая (ПК-1, ПК-2, ПК-3, ПК-4)-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право выбора (в соответствии с видами проф. деятельности, к которым готовится выпускник);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научно-исследовательская(ПК-5, ПК-6)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право выбора (в соответствии с видами проф. деятельности, к которым готовится выпускник);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проектная (ПК-7, ПК-8, ПК-9, ПК-10)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право выбора (в соответствии с видами проф. деятельности, к которым готовится выпускник);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методическая(ПК-11, ПК-12)-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право выбора (в соответствии с видами проф. деятельности, к которым готовится выпускник);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управленческая (ПК-13, ПК-14, ПК-15, ПК-16)-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право выбора (в соответствии с видами проф. деятельности, к которым готовится выпускник);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культурно-просветительская (ПК-17, ПК-18, ПК-19, ПК-19, ПК-20, ПК-21)-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право выбора (в соответствии с видами проф. деятельности, к которым готовится выпускник).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4) Специальные (СК-1, СК-2)-не обязательные.</w:t>
      </w:r>
    </w:p>
    <w:p w:rsidR="00000000" w:rsidDel="00000000" w:rsidP="00000000" w:rsidRDefault="00000000" w:rsidRPr="00000000">
      <w:pPr>
        <w:ind w:firstLine="70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 компетенции – это обоснованная совокупность вузовских требований к структуре компетенции  и уровню ее сформированности у студента по окончанию освоения ОПОП.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формирования компетенции – это обоснованная совокупность вузовских требований  к структуре компетенции  и уровню ее сформированности у студента по окончанию освоения ОПОП.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Чандра М.Ю. сообщила, что в паспорте и программе формирования компетенции должны содержаться ответы на вопросы: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Какова структура компетенции?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Как (при помощи каких образовательных технологий) можно сформировать компетенцию в условиях вуза?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 Как (с помощью каких оценочных средств) можно оценивать уровень сформированности компетенции у студентов?</w:t>
      </w:r>
      <w:r w:rsidDel="00000000" w:rsidR="00000000" w:rsidRPr="00000000">
        <w:rPr>
          <w:rFonts w:ascii="Arial" w:cs="Arial" w:eastAsia="Arial" w:hAnsi="Arial"/>
          <w:color w:val="333399"/>
          <w:sz w:val="56"/>
          <w:szCs w:val="5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Паспорт и программа формирования компетенции состоит из двух разделов: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раздел – «Паспорт компетенции»: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Основные сущностные характеристики компетенции.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Место и значимость компетенции в совокупном ожидаемом результате образования выпускника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 Структура компетенции.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 Уровни сформированности компетенции.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раздел – «Программа формирования компетенции»: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Содержание образования, необходимое для формирования компетенции.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 Образовательные технологии формирования компетенции.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 Календарный график формирования компетенции.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2.4. Матрица оценки сформированности компетенции у студентов.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 КОМПЕТЕНЦИИ: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1.1.   Определение, содержание и основные сущностные характеристики компетенции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Под компетенцией  ___ «______________»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          </w:t>
        <w:tab/>
        <w:t xml:space="preserve">(индекс)    (наименование компетенции)                                                                                                                           понимается: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Маргарита Юрьевна привела примеры :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200" w:before="0" w:line="276" w:lineRule="auto"/>
        <w:ind w:left="720" w:hanging="360"/>
        <w:contextualSpacing w:val="1"/>
        <w:rPr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(проф. Н.М. Борытко):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1.1. Определение, содержание и основные сущностные характеристики компетенции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 компетенцией  ПК-10 «Готовность проектировать содержание учебных дисциплин, технологии и конкретные методики обучения» понимается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готовность выпускника магистратуры осуществлять проектную деятельность, что предполагает проектирование содержания новых дисциплин и элективных курсов, а также технологий и методик обучения.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200" w:before="0" w:line="276" w:lineRule="auto"/>
        <w:ind w:left="720" w:hanging="360"/>
        <w:contextualSpacing w:val="1"/>
        <w:rPr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(проф. М.В. Корепанова, доц. М.Ю. Чандра):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1.1. Определение, содержание и основные сущностные характеристики компетенции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 компетенцией  ПК-15 «Готовность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работы» понимается готовность выпускника магистратуры использовать профессиональные знания, умения и опыт для управления командами, осуществляющими экспериментальную работу по определению стратегии развития образовательной организации (миссии, видения, политики, стратегических целей) и решению задач ее развития .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0" w:before="0" w:line="276" w:lineRule="auto"/>
        <w:ind w:left="720" w:hanging="360"/>
        <w:contextualSpacing w:val="1"/>
        <w:rPr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(проф. А.Н. Сергеев):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1.1. Определение, содержание и основные сущностные характеристики компетенции </w:t>
      </w:r>
    </w:p>
    <w:p w:rsidR="00000000" w:rsidDel="00000000" w:rsidP="00000000" w:rsidRDefault="00000000" w:rsidRPr="00000000">
      <w:pPr>
        <w:ind w:firstLine="70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 компетенцией СК-1 «Готов изучать научные основы фундаментальной и прикладной информатики, оценивать и выбирать информационные технологии для создания и применения информационных систем и сервисов для сферы образования» понимается готовность выпускника магистратуры использовать профессиональные знания и умения по оценке и выбору информационных технологий для создания и применения информационных систем и сервисов для сферы образования, готовность осуществления профессионального самообразования и личностного роста в аспекте изучения научных основ фундаментальной и прикладной информатики.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Пример СК для бакалавриата: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Специальные компетенции идентифицируют профессиональную деятельность будущего педагога в конкретной предметной области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СК-1 конкретизирует область предметной подготовки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Примеры формулировки: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«способность использовать знания в области теории и практики (русского языка/математики и т.д.) для постановки и решения профессиональных задач», «готовность к применению (биологического/литературного и т.д.) знания в своей профессиональной деятельности».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СК-2 охватывает область методики преподавания предмета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Примеры формулировки: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«готовность применять современные технологии в области методики обучения (биологии/математике/русскому языку и т.д.) для решения профессиональных задач» или «способность использовать технологии в области методики обучения (физике/химии и т.д.) в современной школе для решения профессиональных задач»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1.1.   Определение, содержание и основные сущностные характеристики компетенции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Под компетенцией  СК-2 «готовность применять современные технологии в области методики обучения русскому языку для решения профессиональных задач»   понимается  способность выпускника (будущего учителя русского языка) ставить и решать профессиональные задачи обучения, воспитания и развития учащихся основной и старшей школы средствами предметной области «русский язык»; использовать современные методы, формы и  образовательные технологии обучения русскому языку в соответствии с образовательными потребностями и возможностями обучающихся.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Маргарита Юрьевна пояснила, как описать результаты обучения: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Результаты обучения следует представить таким образом, чтобы их можно было оценивать.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Каждый результат обучения должен начинаться с глагола действия, за которым следует фраза, описывающая контекст.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Например: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уметь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разрабатывать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план воспитательной работы класса.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Используйте только один глагол для каждого результата обучения.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Представила возможные варианты представления результатов образования в терминах «знать»: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понятия…, закономерности…, принципы…, содержание…, концепции…, идеи…, цели…, задачи…, функции…, подходы…, направления…, проблемы…, исторический аспект…, современное состояние…, зарубежный/отечественный опыт…, классификации…, свойства…, методы…, приемы…, виды…, типы…, структуру…, элементы…, факты…, процессы…, условия…, требования…, правила…, этапы…, порядок…, периоды…, особенности…, компоненты…, критерии…, показатели…, модели…, формулы…, программы…, процедуры…, технологии…, методики…, способы…, алгоритм… и т.д.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Возможные варианты представления результатов образования в терминах «уметь»: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определять…, сравнивать…, анализировать…, различать…, соотносить…, систематизировать…, разрабатывать…, классифицировать…, конструировать…, создавать…, проводить…, проверять…, применять…, действовать…, преобразовывать…, использовать…, изменять…, распознавать…, проектировать…, прогнозировать…, вычислять…, рассчитывать…, участвовать…, контролировать…, диагностировать…, обрабатывать…, оценивать…, обосновывать…, моделировать…, решать…, проводить…, выбирать…, расшифровывать…, выражать…, формулировать…, обобщать…,  исследовать.., изображать…, употреблять…, воспроизводить…, аргументировать…, объяснять…, изменять…, управлять…, организовывать…, ранжировать…, критиковать…, доказывать…, оспаривать…, защищать…, исполнять…, демонстрировать…, использовать…, программировать…, инсценировать…, консультировать…и т.д.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Возможные варианты представления результатов образования в терминах «владеть»: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личностным опытом…, мотивом…, способностью…, методологией…, техникой…, алгоритмом…,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методикой…, методом…, технологией…, способом…, приемом…, навыком…, средством…, системой… и т.д.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Маргарита Юрьевна Чандра  привела примеры структуры компетенции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-профессора  Е.И. Сахарчук  ОК-2 «Готовность действовать в нестандартных ситуациях, нести социальную и этическую ответственность за принятые решения»;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-доцента  М.Ю. Чандра. Структура компетенции  СК-1 (маг. программа «Мониторинг качества образования»)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Чандра М.Ю. озвучила характеристику уровней сформированности компетенции: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порогового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(базового), соответствующего отметке «удовлетворительно», как обязательного уровня по отношению ко всем выпускникам. Пороговый уровень предполагает отражение тех ожидаемых результатов, которые определяют минимальный и достаточный набор знаний, умений и опыта профессиональной деятельности для решения типовых профессиональных задач в соответствии с уровнем квалификации «бакалавр», «специалист», «магистр»;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повышенного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соответствующего отметке «хорошо», который превосходит пороговый уровень по одному или нескольким существенным признакам. Повышенный уровень предполагает способность выпускника вуза самостоятельно использовать потенциал интегрированных знаний, умений и опыта для решения профессиональных задач повышенной сложности с учетом существующих условий;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высокого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соответствующего отметке «отлично», который превосходит пороговый уровень по всем существенным признакам, предполагает максимально возможную выраженность компетенции. Высокий уровень предполагает способность выпускника творчески решать любые профессиональные задачи, определённые в рамках формируемой деятельности, самостоятельно осуществлять поиск новых подходов для решения профессиональных задач, комбинировать и преобразовывать ранее известные способы решения профессиональных задач применительно к существующим условиям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Пример: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Пороговый уровень сформированности СК-1 «готовность к организации мониторинга качества образовательного процесса»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Магистрант: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имеет теоретические представления о мониторинге качества образовательного процесса: знает терминологию, называет функции, виды, методы и современные технологии;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разрабатывает по образцу диагностический инструментарий для проведения мониторинга качества образовательного процесса с помощью различных методов (педагогическое тестирование, анкетирование, рейтинговая система);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может организовать мониторинг качества образовательного процесса по четко заданному алгоритму действий с помощью различных методов (педагогическое тестирование, анкетирование, рейтинговая система), обработки и анализа его результатов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Пример: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Повышенный уровень сформированности СК-1 «готовность к организации мониторинга качества образовательного процесса»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Магистрант: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демонстрирует знания теоретических основ мониторинга качества образовательного процесса: называет представителей различных научных школ, оперирует специальной научной терминологией, дает сравнительную характеристику современным и традиционным методам и технологиям, выделяет их преимущества и недостатки;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самостоятельно разрабатывает диагностический инструментарий для проведения мониторинга качества образовательного процесса с помощью различных методов (педагогическое тестирование, анкетирование, рейтинговая система);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может самостоятельно разработать программу мониторинга качества образовательного процесса применительно к существующим условиям и реализовать ее с помощью различных методов (педагогическое тестирование, анкетирование, рейтинговая система), разработать шкалу оценки результатов мониторинга, провести их обработку и предложить корректирующие меры по улучшению ситуации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Пример: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Высокий уровень сформированности СК-1 «готовность к организации мониторинга качества образовательного процесса»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Магистрант: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демонстрирует знания теоретико-методологических основ мониторинга качества образовательного процесса: знание методологических подходов, используемых к исследованию проблемы мониторинга в сфере образования, различных научных концепций и представителей научных школ; имеет собственное авторское видение решения проблемы; легко оперирует специальной научной терминологией; критически подходит к анализу традиционных и современных методов и технологий мониторинга качества образовательного процесса;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использует креативный подход при разработке диагностического инструментария для проведения мониторинга качества образовательного процесса: самостоятельно создает систему (модель, структуру) мониторинга применительно к существующим условиям с помощью интеграции различных методов (педагогическое тестирование, анкетирование, рейтинговая система и др.), проводит экспертизу качества разработанного диагностического инструментария;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предлагает новые подходы к организации мониторинга качества образовательного процесса, может разработать инновационную программу мониторинга качества образовательного процесса применительно к существующим условиям и организовать ее реализацию, разработать критериальную базу для оценки результатов мониторинга, систему обработку данных, провести анализ полученных результатов и осуществить выбор оптимального решения по улучшению качества образовательного процесса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Маргарита Юрьевна озвучила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программу формирования компетенции:</w:t>
        <w:br w:type="textWrapping"/>
        <w:t xml:space="preserve">- Содержание образования (на примере СК-1 (маг. программа «Мониторинг качества образования»)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Образовательные технологии;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Чандра М.Ю. отметила календарный график формирования компетенции,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матрицу оценки сформированности компетенции.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Вопросы: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Перечень документов выставляемых на официальный сайт?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Сроки предоставления паспорта и программы формирования компетенции?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СЛУШАЛИ: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Орлову Е.В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начальника учебного управления, об анализе  требований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 (утв. приказом Министерства образования и науки РФ от 19 декабря 2013 г. N 1367).</w:t>
      </w:r>
    </w:p>
    <w:p w:rsidR="00000000" w:rsidDel="00000000" w:rsidP="00000000" w:rsidRDefault="00000000" w:rsidRPr="00000000">
      <w:pPr>
        <w:pStyle w:val="Heading1"/>
        <w:spacing w:before="120" w:lineRule="auto"/>
        <w:ind w:left="0" w:firstLine="708"/>
        <w:contextualSpacing w:val="0"/>
      </w:pPr>
      <w:r w:rsidDel="00000000" w:rsidR="00000000" w:rsidRPr="00000000">
        <w:rPr>
          <w:b w:val="0"/>
          <w:rtl w:val="0"/>
        </w:rPr>
        <w:t xml:space="preserve">Елена Викторовна  озвучила виды деятельности: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Виды профессиональной деятельности, к которым готовятся выпускники, освоившие программу магистратуры (бакалавриата): 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разработке и реализации программы магистратуры (бакалавриата) организация ориентируется на конкретный вид (виды) профессиональной деятельности, к которому (которым) готовится магистр (бакалавр), исходя из потребностей рынка труда, научно-исследовательских и материально-технических ресурсов организации.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Орлова Е.В. прокомментировала порядок  организации и осуществления образовательной деятельности по ОП высшего образования – программам Б, С и М  (Приказ №1367 от 19.12.2013):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П.10 Базовая часть 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себя: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дисциплины (модули) и практики, установленные образовательным стандартом (при наличии таких дисциплин (модулей) и практик);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дисциплины (модули) и практики, установленные организацией;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итоговую (государственную итоговую) аттестацию.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ФГОС ВО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П.6.6. В Блок 3 «Государственная итоговая аттестация» входит защита выпускной квалификационной работы, включая подготовку к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 ФГОС ВО не определен перечень компетенций, выносимых на ГИА!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ПОРЯДОК организации и осуществления образовательной деятельности по ОП высшего образования – программам Б, С и М  (Приказ №1367 от 19.12.2013)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П. 22. Фонд оценочных средств для итоговой (государственной итоговой) аттестации включает в себя: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перечень компетенций, которыми должны овладеть обучающиеся в результате освоения образовательной программы;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описание показателей и критериев оценивания компетенций, а также шкал оценивания;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типовые контрольные задания или иные материалы, необходимые для оценки результатов освоения образовательной программы;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методические материалы, определяющие процедуры оценивания результатов освоения образовательной программы.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Отсутствие нормативов: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Целочисленность составляющих ОПОП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Минимальный объем трудоемкости дисциплины (2 з.е.)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Максимальная еженедельная общая нагрузка обучающегося (54 час)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Аудиторная нагрузка (27 час)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Продолжительность каникул (7-10 недель) 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Количество зачетов и экзаменов в год (10 экз, 12 зач)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Постановили: </w:t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Учесть особенности разработки паспортов и программ формирования общекультурных, общепрофессиональных, профессиональных и специальных (при наличии) компетенций в ходе переработки ОПОП.</w:t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ind w:left="360" w:hanging="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ind w:left="360" w:hanging="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Обеспечить своевременную разработку паспортов и программ формирования общекультурных, общепрофессиональных, профессиональных и специальных (при наличии) компетенций по актуализированным ФГОС ВО.</w:t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ind w:left="360" w:hanging="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ind w:left="2484" w:firstLine="347.99999999999983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Ответственные: деканы/директора институтов, зав. кафедрами.</w:t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ind w:left="2484" w:firstLine="347.99999999999983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исполнения: до 30.06.2015г.</w:t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ind w:left="360" w:hanging="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ind w:left="360" w:hanging="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Выполнить переработку ОПОП в соответствии с требованиями п. 10. и п. 22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 в части:</w:t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ind w:left="36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 обеспечения наличия формируемых компетенций, установленных соответствующим ФГОС ВО в базовой части ОПОП;</w:t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after="0" w:line="240" w:lineRule="auto"/>
        <w:ind w:left="36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наличия компетенций которыми должны овладеть обучающиеся в результате освоения образовательной программы в фондах оценочных средств  государственной итоговой аттестации.</w:t>
      </w:r>
    </w:p>
    <w:p w:rsidR="00000000" w:rsidDel="00000000" w:rsidP="00000000" w:rsidRDefault="00000000" w:rsidRPr="00000000">
      <w:pPr>
        <w:spacing w:after="0" w:line="240" w:lineRule="auto"/>
        <w:ind w:left="2124" w:firstLine="707.999999999999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124" w:firstLine="707.999999999999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Ответственные: деканы/директора институтов, зав. кафедрами.</w:t>
      </w:r>
    </w:p>
    <w:p w:rsidR="00000000" w:rsidDel="00000000" w:rsidP="00000000" w:rsidRDefault="00000000" w:rsidRPr="00000000">
      <w:pPr>
        <w:spacing w:after="0" w:line="240" w:lineRule="auto"/>
        <w:ind w:left="2124" w:firstLine="707.999999999999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исполнения: до 01.09.2015г.</w:t>
      </w:r>
    </w:p>
    <w:p w:rsidR="00000000" w:rsidDel="00000000" w:rsidP="00000000" w:rsidRDefault="00000000" w:rsidRPr="00000000">
      <w:pPr>
        <w:spacing w:after="0" w:line="240" w:lineRule="auto"/>
        <w:ind w:left="1416" w:firstLine="707.999999999999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Спланировать выделение необходимого объема аудиторной учебной нагрузки по реализуемым образовательным программа для закрепления ее за практикоориентированными кафедрами на 2015/16 учебный год в соответствии с требованиями действующих ФГОС ВО(ВПО).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124" w:firstLine="707.999999999999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Ответственные: деканы/директора институтов, зав. кафедрами.</w:t>
      </w:r>
    </w:p>
    <w:p w:rsidR="00000000" w:rsidDel="00000000" w:rsidP="00000000" w:rsidRDefault="00000000" w:rsidRPr="00000000">
      <w:pPr>
        <w:spacing w:after="0" w:line="240" w:lineRule="auto"/>
        <w:ind w:left="2124" w:firstLine="707.999999999999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исполнения: до 25.05.2015г.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120"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.Разное</w:t>
      </w:r>
    </w:p>
    <w:p w:rsidR="00000000" w:rsidDel="00000000" w:rsidP="00000000" w:rsidRDefault="00000000" w:rsidRPr="00000000">
      <w:pPr>
        <w:spacing w:before="120" w:lineRule="auto"/>
        <w:ind w:right="141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Выступил: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Жадаев Ю.А.., проректор по учебной работе. Юрий Анатольевич озвучил: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 расчете учебной нагрузки на 2015/16 учебный  год;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 проведении аттестации ППС в июне 2015 год.;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 проведении конкурсного отбора на должности ППС в 2015 год.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 формировании ОПОП в соответствии с требованиями обновленных ФГОС ВО с целью выставления на сайт университета.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Председатель научно-методического совета    </w:t>
        <w:tab/>
        <w:tab/>
        <w:tab/>
        <w:tab/>
        <w:tab/>
        <w:t xml:space="preserve">Ю.А.Жадаев</w:t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Секретарь </w:t>
        <w:tab/>
        <w:tab/>
        <w:tab/>
        <w:tab/>
        <w:tab/>
        <w:tab/>
        <w:tab/>
        <w:tab/>
        <w:t xml:space="preserve"> О.В.Шулико</w:t>
      </w:r>
    </w:p>
    <w:p w:rsidR="00000000" w:rsidDel="00000000" w:rsidP="00000000" w:rsidRDefault="00000000" w:rsidRPr="00000000">
      <w:pPr>
        <w:tabs>
          <w:tab w:val="left" w:pos="2985"/>
        </w:tabs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568" w:top="1135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left" w:pos="5205"/>
      </w:tabs>
      <w:spacing w:after="0" w:before="0" w:line="240" w:lineRule="auto"/>
      <w:contextualSpacing w:val="0"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ab/>
    </w:r>
    <w:fldSimple w:instr="PAGE" w:fldLock="0" w:dirty="0"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</w:r>
    </w:fldSimple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77"/>
        <w:tab w:val="right" w:pos="9355"/>
      </w:tabs>
      <w:spacing w:after="708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lvl w:ilvl="0">
      <w:start w:val="1"/>
      <w:numFmt w:val="decimal"/>
      <w:lvlText w:val="%1."/>
      <w:lvlJc w:val="left"/>
      <w:pPr>
        <w:ind w:left="1068" w:firstLine="708"/>
      </w:pPr>
      <w:rPr/>
    </w:lvl>
    <w:lvl w:ilvl="1">
      <w:start w:val="1"/>
      <w:numFmt w:val="lowerLetter"/>
      <w:lvlText w:val="%2."/>
      <w:lvlJc w:val="left"/>
      <w:pPr>
        <w:ind w:left="1788" w:firstLine="1428"/>
      </w:pPr>
      <w:rPr/>
    </w:lvl>
    <w:lvl w:ilvl="2">
      <w:start w:val="1"/>
      <w:numFmt w:val="lowerRoman"/>
      <w:lvlText w:val="%3."/>
      <w:lvlJc w:val="right"/>
      <w:pPr>
        <w:ind w:left="2508" w:firstLine="2328"/>
      </w:pPr>
      <w:rPr/>
    </w:lvl>
    <w:lvl w:ilvl="3">
      <w:start w:val="1"/>
      <w:numFmt w:val="decimal"/>
      <w:lvlText w:val="%4."/>
      <w:lvlJc w:val="left"/>
      <w:pPr>
        <w:ind w:left="3228" w:firstLine="2868"/>
      </w:pPr>
      <w:rPr/>
    </w:lvl>
    <w:lvl w:ilvl="4">
      <w:start w:val="1"/>
      <w:numFmt w:val="lowerLetter"/>
      <w:lvlText w:val="%5."/>
      <w:lvlJc w:val="left"/>
      <w:pPr>
        <w:ind w:left="3948" w:firstLine="3588"/>
      </w:pPr>
      <w:rPr/>
    </w:lvl>
    <w:lvl w:ilvl="5">
      <w:start w:val="1"/>
      <w:numFmt w:val="lowerRoman"/>
      <w:lvlText w:val="%6."/>
      <w:lvlJc w:val="right"/>
      <w:pPr>
        <w:ind w:left="4668" w:firstLine="4488"/>
      </w:pPr>
      <w:rPr/>
    </w:lvl>
    <w:lvl w:ilvl="6">
      <w:start w:val="1"/>
      <w:numFmt w:val="decimal"/>
      <w:lvlText w:val="%7."/>
      <w:lvlJc w:val="left"/>
      <w:pPr>
        <w:ind w:left="5388" w:firstLine="5028"/>
      </w:pPr>
      <w:rPr/>
    </w:lvl>
    <w:lvl w:ilvl="7">
      <w:start w:val="1"/>
      <w:numFmt w:val="lowerLetter"/>
      <w:lvlText w:val="%8."/>
      <w:lvlJc w:val="left"/>
      <w:pPr>
        <w:ind w:left="6108" w:firstLine="5748"/>
      </w:pPr>
      <w:rPr/>
    </w:lvl>
    <w:lvl w:ilvl="8">
      <w:start w:val="1"/>
      <w:numFmt w:val="lowerRoman"/>
      <w:lvlText w:val="%9."/>
      <w:lvlJc w:val="right"/>
      <w:pPr>
        <w:ind w:left="6828" w:firstLine="6648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0">
    <w:lvl w:ilvl="0">
      <w:start w:val="1"/>
      <w:numFmt w:val="bullet"/>
      <w:lvlText w:val="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1">
    <w:lvl w:ilvl="0">
      <w:start w:val="1"/>
      <w:numFmt w:val="bullet"/>
      <w:lvlText w:val="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40" w:lineRule="auto"/>
      <w:ind w:left="709" w:firstLine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i w:val="1"/>
      <w:color w:val="000000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01.png"/></Relationships>
</file>